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4245"/>
        <w:gridCol w:w="992"/>
        <w:gridCol w:w="567"/>
        <w:gridCol w:w="1414"/>
        <w:gridCol w:w="1614"/>
      </w:tblGrid>
      <w:tr w:rsidR="0007740F" w:rsidRPr="00FF0234" w:rsidTr="0007740F">
        <w:trPr>
          <w:trHeight w:val="536"/>
        </w:trPr>
        <w:tc>
          <w:tcPr>
            <w:tcW w:w="1658" w:type="dxa"/>
            <w:vAlign w:val="center"/>
          </w:tcPr>
          <w:p w:rsidR="0007740F" w:rsidRPr="008D3ADA" w:rsidRDefault="0007740F" w:rsidP="0007740F">
            <w:pPr>
              <w:spacing w:after="0" w:line="240" w:lineRule="auto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  <w:b/>
              </w:rPr>
              <w:t>Profile Title:</w:t>
            </w:r>
          </w:p>
        </w:tc>
        <w:tc>
          <w:tcPr>
            <w:tcW w:w="4245" w:type="dxa"/>
            <w:vAlign w:val="center"/>
          </w:tcPr>
          <w:p w:rsidR="0007740F" w:rsidRPr="008D3ADA" w:rsidRDefault="00A87CCB" w:rsidP="000774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Programme Manager (Land &amp; Assets)</w:t>
            </w:r>
          </w:p>
        </w:tc>
        <w:tc>
          <w:tcPr>
            <w:tcW w:w="4587" w:type="dxa"/>
            <w:gridSpan w:val="4"/>
            <w:vMerge w:val="restart"/>
            <w:vAlign w:val="center"/>
          </w:tcPr>
          <w:p w:rsidR="0007740F" w:rsidRPr="008276F2" w:rsidRDefault="0007740F" w:rsidP="000774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E863BB" wp14:editId="1A46C9D0">
                  <wp:extent cx="914400" cy="5543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4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556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40F" w:rsidRPr="00FF0234" w:rsidTr="0007740F">
        <w:trPr>
          <w:trHeight w:val="502"/>
        </w:trPr>
        <w:tc>
          <w:tcPr>
            <w:tcW w:w="1658" w:type="dxa"/>
            <w:vAlign w:val="center"/>
          </w:tcPr>
          <w:p w:rsidR="0007740F" w:rsidRPr="008D3ADA" w:rsidRDefault="0007740F" w:rsidP="0007740F">
            <w:pPr>
              <w:spacing w:after="0" w:line="240" w:lineRule="auto"/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4245" w:type="dxa"/>
            <w:vAlign w:val="center"/>
          </w:tcPr>
          <w:p w:rsidR="0007740F" w:rsidRPr="009B1FB2" w:rsidRDefault="00A87CCB" w:rsidP="000774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Director Housing, Infrastructure and Planning</w:t>
            </w:r>
          </w:p>
        </w:tc>
        <w:tc>
          <w:tcPr>
            <w:tcW w:w="4587" w:type="dxa"/>
            <w:gridSpan w:val="4"/>
            <w:vMerge/>
            <w:vAlign w:val="center"/>
          </w:tcPr>
          <w:p w:rsidR="0007740F" w:rsidRPr="008276F2" w:rsidRDefault="0007740F" w:rsidP="000774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7740F" w:rsidRPr="00FF0234" w:rsidTr="0007740F"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07740F" w:rsidRPr="008D3ADA" w:rsidRDefault="0007740F" w:rsidP="0007740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Supervision: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07740F" w:rsidRPr="009B1FB2" w:rsidRDefault="00B61AEA" w:rsidP="000774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Variable – up to 3</w:t>
            </w:r>
            <w:r w:rsidR="0007740F">
              <w:rPr>
                <w:rFonts w:ascii="Arial" w:hAnsi="Arial" w:cs="Arial"/>
              </w:rPr>
              <w:t xml:space="preserve"> officers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7740F" w:rsidRPr="008276F2" w:rsidRDefault="0007740F" w:rsidP="000774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7740F" w:rsidRPr="008276F2" w:rsidRDefault="00B61AEA" w:rsidP="000774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07740F" w:rsidRPr="008276F2" w:rsidRDefault="0007740F" w:rsidP="000774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Profile Ref: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07740F" w:rsidRPr="008276F2" w:rsidRDefault="00006085" w:rsidP="000774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06085">
              <w:rPr>
                <w:rFonts w:ascii="Arial" w:eastAsia="Times New Roman" w:hAnsi="Arial" w:cs="Arial"/>
                <w:szCs w:val="20"/>
              </w:rPr>
              <w:t>105569</w:t>
            </w:r>
          </w:p>
        </w:tc>
      </w:tr>
      <w:tr w:rsidR="0007740F" w:rsidRPr="00FF0234" w:rsidTr="0007740F">
        <w:trPr>
          <w:trHeight w:hRule="exact" w:val="567"/>
        </w:trPr>
        <w:tc>
          <w:tcPr>
            <w:tcW w:w="10490" w:type="dxa"/>
            <w:gridSpan w:val="6"/>
            <w:shd w:val="clear" w:color="auto" w:fill="BFBFBF"/>
            <w:vAlign w:val="center"/>
          </w:tcPr>
          <w:p w:rsidR="0007740F" w:rsidRPr="008276F2" w:rsidRDefault="0007740F" w:rsidP="0007740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Focus of the post</w:t>
            </w:r>
          </w:p>
        </w:tc>
      </w:tr>
      <w:tr w:rsidR="0007740F" w:rsidRPr="00FF0234" w:rsidTr="0007740F">
        <w:trPr>
          <w:trHeight w:val="1102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:rsidR="00B61AEA" w:rsidRDefault="00B61AEA" w:rsidP="00B61AEA">
            <w:pPr>
              <w:spacing w:after="0" w:line="240" w:lineRule="auto"/>
              <w:rPr>
                <w:rFonts w:ascii="Arial" w:hAnsi="Arial" w:cs="Arial"/>
              </w:rPr>
            </w:pPr>
          </w:p>
          <w:p w:rsidR="00B61AEA" w:rsidRDefault="003755DA" w:rsidP="00B61A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This post will play an integral leading role in the Housing, Infrastructure &amp; Planning team with key specific tasks and responsibilities being:</w:t>
            </w:r>
          </w:p>
          <w:p w:rsidR="003755DA" w:rsidRDefault="003755DA" w:rsidP="00B61AE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755DA" w:rsidRDefault="00B61AEA" w:rsidP="003755D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55DA">
              <w:rPr>
                <w:rFonts w:eastAsia="Times New Roman"/>
                <w:sz w:val="24"/>
                <w:szCs w:val="24"/>
              </w:rPr>
              <w:t xml:space="preserve">coordinating the Sheffield City Region (SCR) One Public Estate (OPE) Programme, working closely with Local Authorities and wider </w:t>
            </w:r>
            <w:proofErr w:type="gramStart"/>
            <w:r w:rsidRPr="003755DA">
              <w:rPr>
                <w:rFonts w:eastAsia="Times New Roman"/>
                <w:sz w:val="24"/>
                <w:szCs w:val="24"/>
              </w:rPr>
              <w:t>public sector</w:t>
            </w:r>
            <w:proofErr w:type="gramEnd"/>
            <w:r w:rsidRPr="003755DA">
              <w:rPr>
                <w:rFonts w:eastAsia="Times New Roman"/>
                <w:sz w:val="24"/>
                <w:szCs w:val="24"/>
              </w:rPr>
              <w:t xml:space="preserve"> partners including the NHS, Fire and Polic</w:t>
            </w:r>
            <w:r w:rsidR="00A32355">
              <w:rPr>
                <w:rFonts w:eastAsia="Times New Roman"/>
                <w:sz w:val="24"/>
                <w:szCs w:val="24"/>
              </w:rPr>
              <w:t>e Services, and Homes England.</w:t>
            </w:r>
          </w:p>
          <w:p w:rsidR="00A32355" w:rsidRPr="00A32355" w:rsidRDefault="00A32355" w:rsidP="00A3235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  <w:r w:rsidRPr="00A32355">
              <w:rPr>
                <w:rFonts w:eastAsia="Times New Roman"/>
                <w:sz w:val="24"/>
                <w:szCs w:val="24"/>
              </w:rPr>
              <w:t xml:space="preserve">eveloping a Strategic Asset Management Strategy and Delivery Plan for the Combined Authority Group’s land and assets portfolio, </w:t>
            </w:r>
            <w:r>
              <w:rPr>
                <w:rFonts w:eastAsia="Times New Roman"/>
                <w:sz w:val="24"/>
                <w:szCs w:val="24"/>
              </w:rPr>
              <w:t>including</w:t>
            </w:r>
            <w:r w:rsidRPr="00A32355">
              <w:rPr>
                <w:rFonts w:eastAsia="Times New Roman"/>
                <w:sz w:val="24"/>
                <w:szCs w:val="24"/>
              </w:rPr>
              <w:t xml:space="preserve"> identifying opportunities for these assets </w:t>
            </w:r>
            <w:r>
              <w:rPr>
                <w:rFonts w:eastAsia="Times New Roman"/>
                <w:sz w:val="24"/>
                <w:szCs w:val="24"/>
              </w:rPr>
              <w:t xml:space="preserve">to </w:t>
            </w:r>
            <w:r w:rsidRPr="00A32355">
              <w:rPr>
                <w:rFonts w:eastAsia="Times New Roman"/>
                <w:sz w:val="24"/>
                <w:szCs w:val="24"/>
              </w:rPr>
              <w:t>contribute to wider SCR economic and housing growth ambitions.</w:t>
            </w:r>
          </w:p>
          <w:p w:rsidR="00A32355" w:rsidRDefault="00A32355" w:rsidP="00A3235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Preparing</w:t>
            </w:r>
            <w:r w:rsidR="00006085">
              <w:rPr>
                <w:rFonts w:eastAsia="Times New Roman"/>
                <w:sz w:val="24"/>
                <w:szCs w:val="24"/>
              </w:rPr>
              <w:t xml:space="preserve"> and implementing </w:t>
            </w:r>
            <w:r w:rsidRPr="003755DA">
              <w:rPr>
                <w:rFonts w:eastAsia="Times New Roman"/>
                <w:sz w:val="24"/>
                <w:szCs w:val="24"/>
              </w:rPr>
              <w:t xml:space="preserve">the SCR Estates Management Strategy </w:t>
            </w:r>
            <w:r>
              <w:rPr>
                <w:rFonts w:eastAsia="Times New Roman"/>
                <w:sz w:val="24"/>
                <w:szCs w:val="24"/>
              </w:rPr>
              <w:t xml:space="preserve">for </w:t>
            </w:r>
            <w:r w:rsidRPr="003755DA">
              <w:rPr>
                <w:rFonts w:eastAsia="Times New Roman"/>
                <w:sz w:val="24"/>
                <w:szCs w:val="24"/>
              </w:rPr>
              <w:t xml:space="preserve">public </w:t>
            </w:r>
            <w:r>
              <w:rPr>
                <w:rFonts w:eastAsia="Times New Roman"/>
                <w:sz w:val="24"/>
                <w:szCs w:val="24"/>
              </w:rPr>
              <w:t xml:space="preserve">sector </w:t>
            </w:r>
            <w:r w:rsidRPr="003755DA">
              <w:rPr>
                <w:rFonts w:eastAsia="Times New Roman"/>
                <w:sz w:val="24"/>
                <w:szCs w:val="24"/>
              </w:rPr>
              <w:t>land and assets across the SCR (inc</w:t>
            </w:r>
            <w:r>
              <w:rPr>
                <w:rFonts w:eastAsia="Times New Roman"/>
                <w:sz w:val="24"/>
                <w:szCs w:val="24"/>
              </w:rPr>
              <w:t>luding from Central Government).</w:t>
            </w:r>
          </w:p>
          <w:p w:rsidR="00A32355" w:rsidRDefault="00A32355" w:rsidP="00B61A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</w:t>
            </w:r>
            <w:r w:rsidR="00B61AEA" w:rsidRPr="003755DA">
              <w:rPr>
                <w:rFonts w:eastAsia="Times New Roman"/>
                <w:sz w:val="24"/>
                <w:szCs w:val="24"/>
              </w:rPr>
              <w:t>eveloping integrated packages of investment</w:t>
            </w:r>
            <w:r w:rsidR="00A87CCB">
              <w:rPr>
                <w:rFonts w:eastAsia="Times New Roman"/>
                <w:sz w:val="24"/>
                <w:szCs w:val="24"/>
              </w:rPr>
              <w:t>, including the pooling of land and assets,</w:t>
            </w:r>
            <w:r w:rsidR="00B61AEA" w:rsidRPr="003755DA">
              <w:rPr>
                <w:rFonts w:eastAsia="Times New Roman"/>
                <w:sz w:val="24"/>
                <w:szCs w:val="24"/>
              </w:rPr>
              <w:t xml:space="preserve"> to unlock local employment </w:t>
            </w:r>
            <w:r>
              <w:rPr>
                <w:rFonts w:eastAsia="Times New Roman"/>
                <w:sz w:val="24"/>
                <w:szCs w:val="24"/>
              </w:rPr>
              <w:t xml:space="preserve">and housing </w:t>
            </w:r>
            <w:r w:rsidR="00006085">
              <w:rPr>
                <w:rFonts w:eastAsia="Times New Roman"/>
                <w:sz w:val="24"/>
                <w:szCs w:val="24"/>
              </w:rPr>
              <w:t>opportunities</w:t>
            </w:r>
            <w:r>
              <w:rPr>
                <w:rFonts w:eastAsia="Times New Roman"/>
                <w:sz w:val="24"/>
                <w:szCs w:val="24"/>
              </w:rPr>
              <w:t xml:space="preserve"> as part of</w:t>
            </w:r>
            <w:r w:rsidR="00B61AEA" w:rsidRPr="003755DA">
              <w:rPr>
                <w:rFonts w:eastAsia="Times New Roman"/>
                <w:sz w:val="24"/>
                <w:szCs w:val="24"/>
              </w:rPr>
              <w:t xml:space="preserve"> wider strategic regeneration and placemaking activity.</w:t>
            </w:r>
          </w:p>
          <w:p w:rsidR="00A32355" w:rsidRDefault="00A32355" w:rsidP="00A3235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55DA">
              <w:rPr>
                <w:rFonts w:eastAsia="Times New Roman"/>
                <w:sz w:val="24"/>
                <w:szCs w:val="24"/>
              </w:rPr>
              <w:t>Support</w:t>
            </w:r>
            <w:r>
              <w:rPr>
                <w:rFonts w:eastAsia="Times New Roman"/>
                <w:sz w:val="24"/>
                <w:szCs w:val="24"/>
              </w:rPr>
              <w:t>ing</w:t>
            </w:r>
            <w:r w:rsidRPr="003755DA">
              <w:rPr>
                <w:rFonts w:eastAsia="Times New Roman"/>
                <w:sz w:val="24"/>
                <w:szCs w:val="24"/>
              </w:rPr>
              <w:t xml:space="preserve"> the SCR Joint Assets Board overseeing the SCR OPE Programme.</w:t>
            </w:r>
          </w:p>
          <w:p w:rsidR="00A32355" w:rsidRDefault="00A32355" w:rsidP="00A3235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</w:t>
            </w:r>
            <w:r w:rsidRPr="00A32355">
              <w:rPr>
                <w:rFonts w:eastAsia="Times New Roman"/>
                <w:sz w:val="24"/>
                <w:szCs w:val="24"/>
              </w:rPr>
              <w:t xml:space="preserve">oordinating the Combined Authority’s input to the SCR OPE Programme.  </w:t>
            </w:r>
          </w:p>
          <w:p w:rsidR="0007740F" w:rsidRPr="00006085" w:rsidRDefault="00A32355" w:rsidP="00A3235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06085">
              <w:rPr>
                <w:rFonts w:asciiTheme="minorHAnsi" w:hAnsiTheme="minorHAnsi" w:cstheme="minorHAnsi"/>
                <w:sz w:val="24"/>
                <w:szCs w:val="24"/>
              </w:rPr>
              <w:t>Providing input to the wider housing and placemaking activities of the SCR Combined Authority and Local Enterprise Partnership.</w:t>
            </w:r>
          </w:p>
        </w:tc>
      </w:tr>
    </w:tbl>
    <w:p w:rsidR="00A32355" w:rsidRDefault="002754C2" w:rsidP="0007740F">
      <w:pPr>
        <w:ind w:left="-709"/>
        <w:rPr>
          <w:rFonts w:ascii="Arial" w:hAnsi="Arial" w:cs="Arial"/>
          <w:b/>
          <w:sz w:val="28"/>
        </w:rPr>
      </w:pPr>
      <w:r w:rsidRPr="0007740F">
        <w:rPr>
          <w:rFonts w:ascii="Arial" w:hAnsi="Arial" w:cs="Arial"/>
          <w:b/>
          <w:sz w:val="28"/>
        </w:rPr>
        <w:t xml:space="preserve">Annex A: </w:t>
      </w:r>
      <w:r w:rsidR="00A32355">
        <w:rPr>
          <w:rFonts w:ascii="Arial" w:hAnsi="Arial" w:cs="Arial"/>
          <w:b/>
          <w:sz w:val="28"/>
        </w:rPr>
        <w:t>Specific Areas of Activity</w:t>
      </w:r>
    </w:p>
    <w:p w:rsidR="00A87CCB" w:rsidRDefault="00A32355" w:rsidP="0007740F">
      <w:pPr>
        <w:ind w:left="-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Senior Programme Manager</w:t>
      </w:r>
      <w:r w:rsidR="00A87CCB">
        <w:rPr>
          <w:rFonts w:ascii="Arial" w:hAnsi="Arial" w:cs="Arial"/>
          <w:b/>
          <w:sz w:val="28"/>
        </w:rPr>
        <w:t xml:space="preserve"> (Land &amp; Assets)</w:t>
      </w:r>
    </w:p>
    <w:p w:rsidR="00D91054" w:rsidRPr="0007740F" w:rsidRDefault="00A87CCB" w:rsidP="0007740F">
      <w:pPr>
        <w:ind w:left="-709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SCR Hous</w:t>
      </w:r>
      <w:r w:rsidR="0007740F" w:rsidRPr="0007740F">
        <w:rPr>
          <w:rFonts w:ascii="Arial" w:hAnsi="Arial" w:cs="Arial"/>
          <w:b/>
          <w:sz w:val="28"/>
        </w:rPr>
        <w:t>ing, Infrastructure and Planning</w:t>
      </w:r>
      <w:r>
        <w:rPr>
          <w:rFonts w:ascii="Arial" w:hAnsi="Arial" w:cs="Arial"/>
          <w:b/>
          <w:sz w:val="28"/>
        </w:rPr>
        <w:t xml:space="preserve"> Team</w:t>
      </w:r>
      <w:r w:rsidR="0007740F" w:rsidRPr="0007740F">
        <w:rPr>
          <w:rFonts w:ascii="Arial" w:hAnsi="Arial" w:cs="Arial"/>
          <w:b/>
          <w:sz w:val="28"/>
        </w:rPr>
        <w:br/>
      </w:r>
      <w:bookmarkStart w:id="0" w:name="_GoBack"/>
      <w:bookmarkEnd w:id="0"/>
    </w:p>
    <w:sectPr w:rsidR="00D91054" w:rsidRPr="0007740F" w:rsidSect="00F006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F4" w:rsidRDefault="00BD6EF4" w:rsidP="0061734B">
      <w:pPr>
        <w:spacing w:after="0" w:line="240" w:lineRule="auto"/>
      </w:pPr>
      <w:r>
        <w:separator/>
      </w:r>
    </w:p>
  </w:endnote>
  <w:endnote w:type="continuationSeparator" w:id="0">
    <w:p w:rsidR="00BD6EF4" w:rsidRDefault="00BD6EF4" w:rsidP="006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4B" w:rsidRDefault="00617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4B" w:rsidRDefault="006173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4B" w:rsidRDefault="00617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F4" w:rsidRDefault="00BD6EF4" w:rsidP="0061734B">
      <w:pPr>
        <w:spacing w:after="0" w:line="240" w:lineRule="auto"/>
      </w:pPr>
      <w:r>
        <w:separator/>
      </w:r>
    </w:p>
  </w:footnote>
  <w:footnote w:type="continuationSeparator" w:id="0">
    <w:p w:rsidR="00BD6EF4" w:rsidRDefault="00BD6EF4" w:rsidP="00617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4B" w:rsidRDefault="00617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4B" w:rsidRDefault="00617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4B" w:rsidRDefault="00617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4473BE"/>
    <w:multiLevelType w:val="hybridMultilevel"/>
    <w:tmpl w:val="FCFA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5BCA"/>
    <w:multiLevelType w:val="hybridMultilevel"/>
    <w:tmpl w:val="55308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92679"/>
    <w:multiLevelType w:val="hybridMultilevel"/>
    <w:tmpl w:val="EAE60D8C"/>
    <w:lvl w:ilvl="0" w:tplc="235CEC96">
      <w:start w:val="1"/>
      <w:numFmt w:val="bullet"/>
      <w:pStyle w:val="Bullets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2" w:tplc="BBB6DF8E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13AF382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5AFE16C0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39E8D5E6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5672B6DA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3C700722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124C7022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233A3031"/>
    <w:multiLevelType w:val="hybridMultilevel"/>
    <w:tmpl w:val="81CC0818"/>
    <w:lvl w:ilvl="0" w:tplc="FFF4D6A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7213"/>
    <w:multiLevelType w:val="hybridMultilevel"/>
    <w:tmpl w:val="9EC0DD1C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BE1E9E"/>
    <w:multiLevelType w:val="hybridMultilevel"/>
    <w:tmpl w:val="AED80E2C"/>
    <w:lvl w:ilvl="0" w:tplc="08090005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33E34FB0"/>
    <w:multiLevelType w:val="hybridMultilevel"/>
    <w:tmpl w:val="595A2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C77CB"/>
    <w:multiLevelType w:val="hybridMultilevel"/>
    <w:tmpl w:val="9C1C8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64D8D"/>
    <w:multiLevelType w:val="hybridMultilevel"/>
    <w:tmpl w:val="031A5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7493A"/>
    <w:multiLevelType w:val="multilevel"/>
    <w:tmpl w:val="032A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ED6344"/>
    <w:multiLevelType w:val="hybridMultilevel"/>
    <w:tmpl w:val="126AEFB4"/>
    <w:lvl w:ilvl="0" w:tplc="F154D5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333D1"/>
    <w:multiLevelType w:val="hybridMultilevel"/>
    <w:tmpl w:val="0B701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223E7"/>
    <w:multiLevelType w:val="hybridMultilevel"/>
    <w:tmpl w:val="70F02676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64E44F62"/>
    <w:multiLevelType w:val="hybridMultilevel"/>
    <w:tmpl w:val="2F543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827380"/>
    <w:multiLevelType w:val="hybridMultilevel"/>
    <w:tmpl w:val="D95AD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841984"/>
    <w:multiLevelType w:val="hybridMultilevel"/>
    <w:tmpl w:val="A4D02994"/>
    <w:lvl w:ilvl="0" w:tplc="6610E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102C08"/>
    <w:multiLevelType w:val="hybridMultilevel"/>
    <w:tmpl w:val="EDF0A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4"/>
  </w:num>
  <w:num w:numId="5">
    <w:abstractNumId w:val="15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34"/>
    <w:rsid w:val="00006085"/>
    <w:rsid w:val="0002018A"/>
    <w:rsid w:val="00045C07"/>
    <w:rsid w:val="000750F8"/>
    <w:rsid w:val="0007740F"/>
    <w:rsid w:val="0008293F"/>
    <w:rsid w:val="000A7B18"/>
    <w:rsid w:val="000B1925"/>
    <w:rsid w:val="000B671F"/>
    <w:rsid w:val="000C23FC"/>
    <w:rsid w:val="000D1A36"/>
    <w:rsid w:val="000D2780"/>
    <w:rsid w:val="000F31C7"/>
    <w:rsid w:val="001028C3"/>
    <w:rsid w:val="00120683"/>
    <w:rsid w:val="0013107B"/>
    <w:rsid w:val="00145A59"/>
    <w:rsid w:val="00154BC4"/>
    <w:rsid w:val="001C129E"/>
    <w:rsid w:val="001E48DB"/>
    <w:rsid w:val="001E58FD"/>
    <w:rsid w:val="001F3E15"/>
    <w:rsid w:val="00201F72"/>
    <w:rsid w:val="0023305E"/>
    <w:rsid w:val="00257C5B"/>
    <w:rsid w:val="002754C2"/>
    <w:rsid w:val="002921C5"/>
    <w:rsid w:val="002A22F4"/>
    <w:rsid w:val="002F5165"/>
    <w:rsid w:val="00304A8E"/>
    <w:rsid w:val="0031497D"/>
    <w:rsid w:val="00316557"/>
    <w:rsid w:val="003259C4"/>
    <w:rsid w:val="00327CA3"/>
    <w:rsid w:val="00360F46"/>
    <w:rsid w:val="00371DDB"/>
    <w:rsid w:val="003755DA"/>
    <w:rsid w:val="00377738"/>
    <w:rsid w:val="003A5188"/>
    <w:rsid w:val="003A6700"/>
    <w:rsid w:val="003B7E5F"/>
    <w:rsid w:val="003D0556"/>
    <w:rsid w:val="003F1F35"/>
    <w:rsid w:val="00415CF7"/>
    <w:rsid w:val="00431689"/>
    <w:rsid w:val="00435FF0"/>
    <w:rsid w:val="00450DF7"/>
    <w:rsid w:val="00480C6A"/>
    <w:rsid w:val="004826FD"/>
    <w:rsid w:val="00494E72"/>
    <w:rsid w:val="004B5DAC"/>
    <w:rsid w:val="004B7DDE"/>
    <w:rsid w:val="004D2F27"/>
    <w:rsid w:val="00501DF0"/>
    <w:rsid w:val="00512222"/>
    <w:rsid w:val="00514FE5"/>
    <w:rsid w:val="00555A18"/>
    <w:rsid w:val="005667AE"/>
    <w:rsid w:val="005962C6"/>
    <w:rsid w:val="005D41C3"/>
    <w:rsid w:val="005E043F"/>
    <w:rsid w:val="0061734B"/>
    <w:rsid w:val="00624C12"/>
    <w:rsid w:val="0062631B"/>
    <w:rsid w:val="00644469"/>
    <w:rsid w:val="00656C62"/>
    <w:rsid w:val="00662007"/>
    <w:rsid w:val="00667F2E"/>
    <w:rsid w:val="00684A5E"/>
    <w:rsid w:val="00685E73"/>
    <w:rsid w:val="00692F99"/>
    <w:rsid w:val="006955E4"/>
    <w:rsid w:val="006A73B0"/>
    <w:rsid w:val="006B30B9"/>
    <w:rsid w:val="006C7E3D"/>
    <w:rsid w:val="006D4AB4"/>
    <w:rsid w:val="006D51F9"/>
    <w:rsid w:val="006E0916"/>
    <w:rsid w:val="006E7213"/>
    <w:rsid w:val="007637A8"/>
    <w:rsid w:val="00781F9B"/>
    <w:rsid w:val="00787E90"/>
    <w:rsid w:val="007C3C99"/>
    <w:rsid w:val="007C51E6"/>
    <w:rsid w:val="007D530D"/>
    <w:rsid w:val="00804D71"/>
    <w:rsid w:val="00823D53"/>
    <w:rsid w:val="008276F2"/>
    <w:rsid w:val="00831EF8"/>
    <w:rsid w:val="00833868"/>
    <w:rsid w:val="00837FC5"/>
    <w:rsid w:val="00841F02"/>
    <w:rsid w:val="00880F07"/>
    <w:rsid w:val="00884637"/>
    <w:rsid w:val="00893167"/>
    <w:rsid w:val="008944D7"/>
    <w:rsid w:val="008A067B"/>
    <w:rsid w:val="008A49A4"/>
    <w:rsid w:val="008B21BC"/>
    <w:rsid w:val="008B5D51"/>
    <w:rsid w:val="008C6647"/>
    <w:rsid w:val="008C7E7A"/>
    <w:rsid w:val="008D3ADA"/>
    <w:rsid w:val="008E7444"/>
    <w:rsid w:val="00902CA1"/>
    <w:rsid w:val="00932FBC"/>
    <w:rsid w:val="0094787C"/>
    <w:rsid w:val="00980DB0"/>
    <w:rsid w:val="009A0A1A"/>
    <w:rsid w:val="009A156C"/>
    <w:rsid w:val="009B1FB2"/>
    <w:rsid w:val="009B37A3"/>
    <w:rsid w:val="009B57F4"/>
    <w:rsid w:val="009C020A"/>
    <w:rsid w:val="009C6C88"/>
    <w:rsid w:val="009E65CC"/>
    <w:rsid w:val="009F1BC9"/>
    <w:rsid w:val="00A22313"/>
    <w:rsid w:val="00A24010"/>
    <w:rsid w:val="00A32355"/>
    <w:rsid w:val="00A42E5D"/>
    <w:rsid w:val="00A542F2"/>
    <w:rsid w:val="00A5596B"/>
    <w:rsid w:val="00A87CCB"/>
    <w:rsid w:val="00AB3CCB"/>
    <w:rsid w:val="00AC08E4"/>
    <w:rsid w:val="00B61AEA"/>
    <w:rsid w:val="00B62F52"/>
    <w:rsid w:val="00B715C3"/>
    <w:rsid w:val="00B8198B"/>
    <w:rsid w:val="00B936E3"/>
    <w:rsid w:val="00BD6EF4"/>
    <w:rsid w:val="00BE23B8"/>
    <w:rsid w:val="00BE3F65"/>
    <w:rsid w:val="00BF393A"/>
    <w:rsid w:val="00BF3EB5"/>
    <w:rsid w:val="00BF611C"/>
    <w:rsid w:val="00C22F86"/>
    <w:rsid w:val="00C462FF"/>
    <w:rsid w:val="00C558EF"/>
    <w:rsid w:val="00C670D9"/>
    <w:rsid w:val="00C751FD"/>
    <w:rsid w:val="00CB2A27"/>
    <w:rsid w:val="00CD2B95"/>
    <w:rsid w:val="00CE073D"/>
    <w:rsid w:val="00CE5D21"/>
    <w:rsid w:val="00D03738"/>
    <w:rsid w:val="00D63DC6"/>
    <w:rsid w:val="00D6788E"/>
    <w:rsid w:val="00D70BE5"/>
    <w:rsid w:val="00D7413F"/>
    <w:rsid w:val="00D80073"/>
    <w:rsid w:val="00D91054"/>
    <w:rsid w:val="00DB3764"/>
    <w:rsid w:val="00DB7087"/>
    <w:rsid w:val="00E05449"/>
    <w:rsid w:val="00E1433D"/>
    <w:rsid w:val="00E21C0A"/>
    <w:rsid w:val="00E7365A"/>
    <w:rsid w:val="00EE26A1"/>
    <w:rsid w:val="00EF17B2"/>
    <w:rsid w:val="00F00674"/>
    <w:rsid w:val="00F116D4"/>
    <w:rsid w:val="00F17DE0"/>
    <w:rsid w:val="00F32BD7"/>
    <w:rsid w:val="00F34357"/>
    <w:rsid w:val="00F40108"/>
    <w:rsid w:val="00F43621"/>
    <w:rsid w:val="00F45840"/>
    <w:rsid w:val="00F72B4E"/>
    <w:rsid w:val="00F73B52"/>
    <w:rsid w:val="00F90021"/>
    <w:rsid w:val="00FD4AD1"/>
    <w:rsid w:val="00FD560A"/>
    <w:rsid w:val="00FF0234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46089"/>
  <w15:docId w15:val="{55DDDAF8-84D2-4CFB-BA97-08C371E7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6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55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5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3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34B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480C6A"/>
    <w:rPr>
      <w:sz w:val="22"/>
      <w:szCs w:val="22"/>
      <w:lang w:eastAsia="en-US"/>
    </w:rPr>
  </w:style>
  <w:style w:type="paragraph" w:customStyle="1" w:styleId="Bullets">
    <w:name w:val="Bullets"/>
    <w:basedOn w:val="ListParagraph"/>
    <w:link w:val="BulletsChar"/>
    <w:uiPriority w:val="99"/>
    <w:qFormat/>
    <w:rsid w:val="001E48DB"/>
    <w:pPr>
      <w:keepNext/>
      <w:numPr>
        <w:numId w:val="12"/>
      </w:numPr>
      <w:spacing w:after="120"/>
      <w:contextualSpacing w:val="0"/>
    </w:pPr>
    <w:rPr>
      <w:rFonts w:cs="Calibri"/>
      <w:sz w:val="24"/>
      <w:szCs w:val="24"/>
      <w:lang w:eastAsia="en-GB"/>
    </w:rPr>
  </w:style>
  <w:style w:type="character" w:customStyle="1" w:styleId="BulletsChar">
    <w:name w:val="Bullets Char"/>
    <w:link w:val="Bullets"/>
    <w:uiPriority w:val="99"/>
    <w:rsid w:val="001E48DB"/>
    <w:rPr>
      <w:rFonts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1E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11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23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7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597B5-051B-4AA9-B868-A7F49F6A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jamesl</dc:creator>
  <cp:lastModifiedBy>Colin Blackburn</cp:lastModifiedBy>
  <cp:revision>4</cp:revision>
  <dcterms:created xsi:type="dcterms:W3CDTF">2017-12-20T14:39:00Z</dcterms:created>
  <dcterms:modified xsi:type="dcterms:W3CDTF">2017-12-20T16:30:00Z</dcterms:modified>
</cp:coreProperties>
</file>